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Субъектам малого и среднего предпринимательства области оказываются (далее – субъекты МСП) все виды государственной поддержки, предусмотренные Федеральным законом от 24 июля 2007 года № 209-ФЗ «О развитии малого и среднего предпринимательства в Российской Федерации»: финансовая, имущественная, информационная, образовательная, консультационная и иные виды поддержки.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Министерством экономического развития области ежегодно реализуется комплекс мероприятий, направленных на поддержку зарегистрированных в установленном порядке субъектов МСП – индивидуальных предпринимателей и юридических лиц, предусмотренный государственной программой Саратовской области «Развитие экономического потенциала и повышение инвестиционной привлекательности региона», утвержденной постановлением Правительства Саратовской области от 11 октября 2013 года № 546-П.</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Финансовая поддержка:</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В целях обеспечения доступа к льготному кредитованию субъектов МСП работает НМК «Фонд микрокредитования субъектов малого предпринимательства Саратовской области» (далее – Фонд микрокредитования). Фонд микрокредитования предоставляет займы начинающим и действующим предпринимателям, самозанятым гражданам под 2,75 – 5,5% годовых, в том числе под поручительство и залог имущества. Размер займа одному заемщику составляет не более 5 млн. рублей. Фонд микрокредитования располагается по адресу: 410012, г. Саратов, ул. Краевая, д. 85, тел. (845-2) 75-64-11; 75-64-12, факс 75-64-13, </w:t>
      </w:r>
      <w:hyperlink r:id="rId5" w:history="1">
        <w:r w:rsidRPr="00AB2D7E">
          <w:rPr>
            <w:rFonts w:ascii="Arial" w:eastAsia="Times New Roman" w:hAnsi="Arial" w:cs="Arial"/>
            <w:color w:val="0088CC"/>
            <w:sz w:val="21"/>
            <w:szCs w:val="21"/>
            <w:u w:val="single"/>
            <w:lang w:eastAsia="ru-RU"/>
          </w:rPr>
          <w:t>https://www.fmco.ru/</w:t>
        </w:r>
      </w:hyperlink>
      <w:r w:rsidRPr="00AB2D7E">
        <w:rPr>
          <w:rFonts w:ascii="Arial" w:eastAsia="Times New Roman" w:hAnsi="Arial" w:cs="Arial"/>
          <w:color w:val="333333"/>
          <w:sz w:val="21"/>
          <w:szCs w:val="21"/>
          <w:lang w:eastAsia="ru-RU"/>
        </w:rPr>
        <w:t>.</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В случае недостаточности собственного залогового обеспечения при привлечении заемных средств субъекты малого предпринимательства могут воспользоваться услугами АО «Гарантийный фонд для субъектов малого предпринимательства Саратовской области» (далее – Гарантийный фонд), предоставляющего гарантии по возврату части (до 50%) привлеченных субъектами малого предпринимательства банковских кредитов для реализации проектов. Максимальный размер поручительства Гарантийного фонда – до 25 млн. рублей на одного получателя в зависимости от финансового положения заемщика. Гарантийный фонд располагается по адресу: 410012, г. Саратов, ул. Краевая, д. 85, тел. (845-2) 75-34-15, 75-34-11, </w:t>
      </w:r>
      <w:hyperlink r:id="rId6" w:history="1">
        <w:r w:rsidRPr="00AB2D7E">
          <w:rPr>
            <w:rFonts w:ascii="Arial" w:eastAsia="Times New Roman" w:hAnsi="Arial" w:cs="Arial"/>
            <w:color w:val="0088CC"/>
            <w:sz w:val="21"/>
            <w:szCs w:val="21"/>
            <w:u w:val="single"/>
            <w:lang w:eastAsia="ru-RU"/>
          </w:rPr>
          <w:t>https://saratovgarantfond.ru</w:t>
        </w:r>
      </w:hyperlink>
      <w:r w:rsidRPr="00AB2D7E">
        <w:rPr>
          <w:rFonts w:ascii="Arial" w:eastAsia="Times New Roman" w:hAnsi="Arial" w:cs="Arial"/>
          <w:color w:val="333333"/>
          <w:sz w:val="21"/>
          <w:szCs w:val="21"/>
          <w:lang w:eastAsia="ru-RU"/>
        </w:rPr>
        <w:t>.</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На федеральном уровне АО «Федеральная корпорация по развитию малого и среднего предпринимательства» (далее – Корпорация МСП) и Минэкономразвития России реализуются следующие программы льготного кредитования малого и среднего бизнеса (для юридических лиц и индивидуальных предпринимателей):</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 Программа Корпорации МСП:</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кредиты предоставляются уполномоченными банками субъектам МСП, в том числе индивидуальным предпринимателям, на реализацию проектов по Документ создан в электронной форме. № 16-6/4665 от 15.07.2021. Исполнитель: Попова Т.В. Страница 2 из 7. Страница создана: 14.07.2021 11:48 2 2 ставке 8,5% годовых. Размер кредита: от 3 млн. рублей до 1 млрд. рублей (общий кредитный лимит на заемщика - до 4 млрд. рублей).       Участие в Программе в настоящее время принимают 62 крупнейших российских банка, из них 14 кредитных организаций, действующих на территории области: АО «АЛЬФА-БАНК», Банк ВТБ (ПАО), Банк ГПБ (АО), ПАО «Промсвязьбанк», АО «Райффайзенбанк», ПАО РОСБАНК, АО «Россельхозбанк», ПАО Сбербанк, ПАО Банк «ЗЕНИТ», АО «Банк Интеза», ПАО «АК БАРС» Банк, ПАО «Совкомбанк», ПАО Банк «ФК Открытие», ПАО «Банк Уралсиб».</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Более подробная информация на сайте Корпорации МСП </w:t>
      </w:r>
      <w:hyperlink r:id="rId7" w:history="1">
        <w:r w:rsidRPr="00AB2D7E">
          <w:rPr>
            <w:rFonts w:ascii="Arial" w:eastAsia="Times New Roman" w:hAnsi="Arial" w:cs="Arial"/>
            <w:color w:val="0088CC"/>
            <w:sz w:val="21"/>
            <w:szCs w:val="21"/>
            <w:u w:val="single"/>
            <w:lang w:eastAsia="ru-RU"/>
          </w:rPr>
          <w:t>https://corpmsp.ru/bankam/programma_stimulir/</w:t>
        </w:r>
      </w:hyperlink>
      <w:r w:rsidRPr="00AB2D7E">
        <w:rPr>
          <w:rFonts w:ascii="Arial" w:eastAsia="Times New Roman" w:hAnsi="Arial" w:cs="Arial"/>
          <w:color w:val="333333"/>
          <w:sz w:val="21"/>
          <w:szCs w:val="21"/>
          <w:lang w:eastAsia="ru-RU"/>
        </w:rPr>
        <w:t>;</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 Программа Минэкономразвития России: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постановлением Правительства Российской Федерации от 30 декабря 2018 года № 1764 утверждены Правила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lastRenderedPageBreak/>
        <w:t>            Кредиты субъектам МСП, осуществляющим приоритетные виды деятельности, предоставляются:</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на инвестиционные цели: от 500 тыс. рублей до 200 млн. рублей - для субъектов МСП, относящихся к категории «микропредприятие», до 500 млн. рублей – для субъектов МСП, относящихся к категории «малое предприятие», до 2 млрд. рублей – для субъектов МСП, относящихся к категории «среднее предприятие», на срок до 10 лет (с непрерывным предоставлением субсидии не более 5 лет);</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на пополнение оборотных средств: от 500 тыс. до 200 млн. рублей – для субъектов МСП, относящихся к категории «микропредприятие», до 500 млн. рублей – для субъектов МСП, относящихся к категории «малое предприятие», «среднее предприятие», на срок до 1 года;</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на рефинансирование кредита на инвестиционные цели - процентная ставка до 8,25%;</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на развитие предпринимательской деятельности - до 10 млн. рублей на срок до 5 лет по ставке 9,95 % годовых.</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Участие в Программе принимают 18 уполномоченных банков, действующих на территории Саратовской области: ПАО «Промсвязьбанк», АО «АЛЬФА-БАНК», АО «Райффайзенбанк», ПАО РОСБАНК, АО «Россельхозбанк», ПАО Сбербанк, ПАО «Совкомбанк», Банк ВТБ (ПАО), ПАО «АК БАРС» Банк, Банк Газпромбанк (АО), АО «Банк Интеза», ООО «Банк Саратов», АО «СМП Банк», АО «АБ «РОССИЯ», ПАО Банк «ФК Открытие», ПАО «МТС-Банк», АО «Банк ДОМ.РФ», ПАО Банк «ЗЕНИТ».</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Имущественная поддержка оказывается субъектам МСП в виде:</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-льготных ставок арендной платы за офисные и производственные помещения. Поддержку субъекты МСП могут получить в ООО «Бизнес-инкубатор Саратовской области» (далее – Областной бизнес-инкубатор) и МАУ «Бизнес-инкубатор Балаковского муниципального района». Стать резидентом бизнес-инкубатора может субъект малого предпринимательства, действующий менее 3 лет, на конкурсной основе. Максимальный срок предоставления помещений бизнес-инкубатора в аренду - 3 года;</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-льготных ставок арендной платы за пользование имуществом из перечней государственного и муниципального имущества.</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Комплекс образовательной, информационной, консультационной поддержки на безвозмездной и льготной основе оказывает Центр предпринимателя «Мой бизнес» (далее – ЦП «Мой бизнес»). На площадке ЦП «Мой бизнес» сегодня находятся: имущественный комплекс Областного бизнес-инкубатора, Центр поддержки предпринимательства (далее – ЦПП) и Региональный центр инжиниринга (далее – РЦИ) как структурные подразделения Областного бизнес-инкубатора, Гарантийный фонд, Фонд микрокредитования, НО «Фонд содействия развитию венчурных инвестиций в малые предприятия в научно-технической сфере Саратовской области» (далее – Венчурный фонд), 5 бизнес-окон ГАУ СО «МФЦ».</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ЦПП оказывает комплекс информационно-консультационных, образовательных услуг субъектам малого и среднего предпринимательства и физическим лицам, заинтересованным в начале осуществления предпринимательской деятельности, в том числе по вопросам начала ведения собственного дела, финансового планирования, маркетингового сопровождения деятельности и бизнес-планирования, патентно- лицензионного сопровождения и другие услуги.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РЦИ оказывает услуги по разработке технической, проектной или конструкторской документации для производства новой или модернизированной продукции, проведению технологического аудита и разработке программы модернизации производства, подготовке технико-экономического обоснования проекта и бизнес-плана для привлечения заемного и инвестиционного финансирования, оказанию содействия в получении разрешительной документации (сертификация, декларирование, аттестация, иные услуги), проведению маркетинговых исследований, разработке фирменного стиля и другие услуги.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ЦП «Мой бизнес» располагается по адресу: 410012, г. Саратов, ул. Краевая, д. 85, тел. (845-2) 24-54-78, </w:t>
      </w:r>
      <w:hyperlink r:id="rId8" w:history="1">
        <w:r w:rsidRPr="00AB2D7E">
          <w:rPr>
            <w:rFonts w:ascii="Arial" w:eastAsia="Times New Roman" w:hAnsi="Arial" w:cs="Arial"/>
            <w:color w:val="0088CC"/>
            <w:sz w:val="21"/>
            <w:szCs w:val="21"/>
            <w:u w:val="single"/>
            <w:lang w:eastAsia="ru-RU"/>
          </w:rPr>
          <w:t>http://www.saratov-bis.ru.</w:t>
        </w:r>
      </w:hyperlink>
      <w:r w:rsidRPr="00AB2D7E">
        <w:rPr>
          <w:rFonts w:ascii="Arial" w:eastAsia="Times New Roman" w:hAnsi="Arial" w:cs="Arial"/>
          <w:color w:val="333333"/>
          <w:sz w:val="21"/>
          <w:szCs w:val="21"/>
          <w:lang w:eastAsia="ru-RU"/>
        </w:rPr>
        <w:t xml:space="preserve"> Для привлечения федерального финансирования специалисты Венчурного фонда оказывают консультирование, помощь в «упаковке» проектов </w:t>
      </w:r>
      <w:r w:rsidRPr="00AB2D7E">
        <w:rPr>
          <w:rFonts w:ascii="Arial" w:eastAsia="Times New Roman" w:hAnsi="Arial" w:cs="Arial"/>
          <w:color w:val="333333"/>
          <w:sz w:val="21"/>
          <w:szCs w:val="21"/>
          <w:lang w:eastAsia="ru-RU"/>
        </w:rPr>
        <w:lastRenderedPageBreak/>
        <w:t>и (или) подготовке заявок малых инновационных компаний по программам ФГБУ «Фонд содействия развитию малых форм предприятий в научно-технической сфере» (далее – ФСИ).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В 2018 году Венчурный фонд получил статус аккредитованной компании, реализующей преакселерационную программу для грантополучателей программы «УМНИК» ФСИ. Преакселерационная программа Венчурного фонда направлена на комплексную поддержку и сопровождение молодых ученых и инноваторов. Основная задача – оказание консультационных услуг, связанных с проработкой перспектив коммерческого использования результатов научно-исследовательских работ, выполняемых в рамках программы «УМНИК».</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Венчурный фонд располагается по адресу: г. Саратов, ул. Краевая, д. 85, офис 304, тел. (845-2) 75-64-03, эл. почта: </w:t>
      </w:r>
      <w:hyperlink r:id="rId9" w:history="1">
        <w:r w:rsidRPr="00AB2D7E">
          <w:rPr>
            <w:rFonts w:ascii="Arial" w:eastAsia="Times New Roman" w:hAnsi="Arial" w:cs="Arial"/>
            <w:color w:val="0088CC"/>
            <w:sz w:val="21"/>
            <w:szCs w:val="21"/>
            <w:u w:val="single"/>
            <w:lang w:eastAsia="ru-RU"/>
          </w:rPr>
          <w:t>info@fsimp.ru</w:t>
        </w:r>
      </w:hyperlink>
      <w:r w:rsidRPr="00AB2D7E">
        <w:rPr>
          <w:rFonts w:ascii="Arial" w:eastAsia="Times New Roman" w:hAnsi="Arial" w:cs="Arial"/>
          <w:color w:val="333333"/>
          <w:sz w:val="21"/>
          <w:szCs w:val="21"/>
          <w:lang w:eastAsia="ru-RU"/>
        </w:rPr>
        <w:t>.</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С 2016 года в целях сохранения и развития на территории региона традиционных народных художественных промыслов (керамика, резьба и роспись по дереву), объединения предпринимателей-ремесленников в единое сообщество действует АНО «Палата ремесел Саратовской области» (далее – Палата ремесел). Палата ремесел организует участие саратовских ремесленников на крупных российских и международных выставочных площадках, проводит консультации и реализует программы обучения.</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Также на территории области действует АНО «Центр поддержки экспорта Саратовской области» (далее – ЦПЭ), представляющая «единое окно» для работы с экспортерами в области финансовых и нефинансовых мер поддержки. ЦПЭ обеспечивает проведение экспертизы внешнеэкономических проектов и сделок, проведение маркетинговых и патентных исследований иностранных рынков, организацию и проведение межрегиональных и международных бизнес-миссий, обучение по тематике внешнеэкономической деятельности.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Региональными законодательными актами предусмотрены следующие налоговые преференции в сфере развития малого предпринимательства области: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двухлетние «налоговые каникулы» по упрощенной и патентной системам налогообложения для впервые зарегистрированных индивидуальных предпринимателей, осуществляющих деятельность в производственной, научной и социальной сферах, сфере бытовых услуг населению, услуг по предоставлению мест для временного проживания (Закон Саратовской области от 28 апреля 2015 года № 57-ЗСО «Об установлении налоговой ставки в размере 0 процентов для отдельных категорий налогоплательщиков при применении упрощенной и (или) патентной систем (системы) налогообложения на территории Саратовской области»). «Нулевая ставка» установлена по 101 виду деятельности патентной и упрощенной систем налогообложения и действует до 31 декабря 2023 года;</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патентная система налогообложения по 98 видам предпринимательской деятельности (Закон Саратовской области от 13 ноября 2012 года № 167-ЗСО «О введении на территории Саратовской области патентной системы налогообложения»). Цена на патенты для предпринимателей дифференцирована по пяти группам муниципальных образований области;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пониженные налоговые ставки по упрощенной системе налогообложения для 12 видов экономической деятельности, в том числе в сфере автоперевозок, общественного питания, гостиничного бизнеса, туризма, культуры, досуга и спорта, а также для резидентов территории опережающего социально-экономического развития и особой экономической зоны - 2% вместо 6% с базой «доходы» и 7,5% вместо 15% с базой «доходы минус расходы» (Закон Саратовской области от 25 ноября 2015 года № 152-ЗСО «Об установлении дифференцированных налоговых ставок при применении упрощенной системы налогообложения для отдельных категорий налогоплательщиков на территории Саратовской области»);</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освобождение от уплаты налога на имущество организаций для 12 видов экономической деятельности, в том числе в сфере автоперевозок, общественного питания, гостиничного бизнеса, туризма, культуры, досуга и спорта (Закон Саратовской области от 24 ноября 2003 года № 73-3CO «О введении на территории Саратовской области налога на имущество организаций»);</w:t>
      </w:r>
    </w:p>
    <w:p w:rsidR="00AB2D7E" w:rsidRPr="00AB2D7E" w:rsidRDefault="00AB2D7E" w:rsidP="00AB2D7E">
      <w:pPr>
        <w:shd w:val="clear" w:color="auto" w:fill="FFFFFF"/>
        <w:spacing w:after="150" w:line="240" w:lineRule="auto"/>
        <w:jc w:val="both"/>
        <w:rPr>
          <w:rFonts w:ascii="Arial" w:eastAsia="Times New Roman" w:hAnsi="Arial" w:cs="Arial"/>
          <w:color w:val="333333"/>
          <w:sz w:val="21"/>
          <w:szCs w:val="21"/>
          <w:lang w:eastAsia="ru-RU"/>
        </w:rPr>
      </w:pPr>
      <w:r w:rsidRPr="00AB2D7E">
        <w:rPr>
          <w:rFonts w:ascii="Arial" w:eastAsia="Times New Roman" w:hAnsi="Arial" w:cs="Arial"/>
          <w:color w:val="333333"/>
          <w:sz w:val="21"/>
          <w:szCs w:val="21"/>
          <w:lang w:eastAsia="ru-RU"/>
        </w:rPr>
        <w:t xml:space="preserve">с 1 июля 2020 года применение физическими лицами и индивидуальными предпринимателями специального налогового режима «Налог на профессиональный доход» (далее – НПД) - размер налоговой ставки 4% при работе с физическими лицами и 6% - с индивидуальными предпринимателями и юридическими лицами (Закон Саратовской области от 29 мая 2020 года </w:t>
      </w:r>
      <w:r w:rsidRPr="00AB2D7E">
        <w:rPr>
          <w:rFonts w:ascii="Arial" w:eastAsia="Times New Roman" w:hAnsi="Arial" w:cs="Arial"/>
          <w:color w:val="333333"/>
          <w:sz w:val="21"/>
          <w:szCs w:val="21"/>
          <w:lang w:eastAsia="ru-RU"/>
        </w:rPr>
        <w:lastRenderedPageBreak/>
        <w:t>№ 51-ЗСО «О введении в действие на территории Саратовской области специального налогового режима «Налог на профессиональный доход»). При применении НПД налогоплательщики освобождаются от обязанности представлять отчетность, применять контрольно-кассовую технику, регистрироваться в качестве индивидуального предпринимателя и уплачивать страховые взносы.</w:t>
      </w:r>
    </w:p>
    <w:p w:rsidR="005543FF" w:rsidRPr="00AB2D7E" w:rsidRDefault="005543FF" w:rsidP="00AB2D7E">
      <w:bookmarkStart w:id="0" w:name="_GoBack"/>
      <w:bookmarkEnd w:id="0"/>
    </w:p>
    <w:sectPr w:rsidR="005543FF" w:rsidRPr="00AB2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A1305"/>
    <w:multiLevelType w:val="multilevel"/>
    <w:tmpl w:val="B36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EB"/>
    <w:rsid w:val="0002304A"/>
    <w:rsid w:val="000812C8"/>
    <w:rsid w:val="000813DC"/>
    <w:rsid w:val="001F56EB"/>
    <w:rsid w:val="005543FF"/>
    <w:rsid w:val="006B44A6"/>
    <w:rsid w:val="00A25901"/>
    <w:rsid w:val="00AB2D7E"/>
    <w:rsid w:val="00AE199B"/>
    <w:rsid w:val="00B61BC7"/>
    <w:rsid w:val="00F37A94"/>
    <w:rsid w:val="00F52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4794"/>
  <w15:chartTrackingRefBased/>
  <w15:docId w15:val="{96A94BB9-8E22-4B46-83EA-FB2D3EE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6EB"/>
    <w:rPr>
      <w:b/>
      <w:bCs/>
    </w:rPr>
  </w:style>
  <w:style w:type="character" w:styleId="a5">
    <w:name w:val="Hyperlink"/>
    <w:basedOn w:val="a0"/>
    <w:uiPriority w:val="99"/>
    <w:semiHidden/>
    <w:unhideWhenUsed/>
    <w:rsid w:val="00F37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613">
      <w:bodyDiv w:val="1"/>
      <w:marLeft w:val="0"/>
      <w:marRight w:val="0"/>
      <w:marTop w:val="0"/>
      <w:marBottom w:val="0"/>
      <w:divBdr>
        <w:top w:val="none" w:sz="0" w:space="0" w:color="auto"/>
        <w:left w:val="none" w:sz="0" w:space="0" w:color="auto"/>
        <w:bottom w:val="none" w:sz="0" w:space="0" w:color="auto"/>
        <w:right w:val="none" w:sz="0" w:space="0" w:color="auto"/>
      </w:divBdr>
    </w:div>
    <w:div w:id="202911320">
      <w:bodyDiv w:val="1"/>
      <w:marLeft w:val="0"/>
      <w:marRight w:val="0"/>
      <w:marTop w:val="0"/>
      <w:marBottom w:val="0"/>
      <w:divBdr>
        <w:top w:val="none" w:sz="0" w:space="0" w:color="auto"/>
        <w:left w:val="none" w:sz="0" w:space="0" w:color="auto"/>
        <w:bottom w:val="none" w:sz="0" w:space="0" w:color="auto"/>
        <w:right w:val="none" w:sz="0" w:space="0" w:color="auto"/>
      </w:divBdr>
    </w:div>
    <w:div w:id="306402956">
      <w:bodyDiv w:val="1"/>
      <w:marLeft w:val="0"/>
      <w:marRight w:val="0"/>
      <w:marTop w:val="0"/>
      <w:marBottom w:val="0"/>
      <w:divBdr>
        <w:top w:val="none" w:sz="0" w:space="0" w:color="auto"/>
        <w:left w:val="none" w:sz="0" w:space="0" w:color="auto"/>
        <w:bottom w:val="none" w:sz="0" w:space="0" w:color="auto"/>
        <w:right w:val="none" w:sz="0" w:space="0" w:color="auto"/>
      </w:divBdr>
    </w:div>
    <w:div w:id="709231987">
      <w:bodyDiv w:val="1"/>
      <w:marLeft w:val="0"/>
      <w:marRight w:val="0"/>
      <w:marTop w:val="0"/>
      <w:marBottom w:val="0"/>
      <w:divBdr>
        <w:top w:val="none" w:sz="0" w:space="0" w:color="auto"/>
        <w:left w:val="none" w:sz="0" w:space="0" w:color="auto"/>
        <w:bottom w:val="none" w:sz="0" w:space="0" w:color="auto"/>
        <w:right w:val="none" w:sz="0" w:space="0" w:color="auto"/>
      </w:divBdr>
    </w:div>
    <w:div w:id="1312563155">
      <w:bodyDiv w:val="1"/>
      <w:marLeft w:val="0"/>
      <w:marRight w:val="0"/>
      <w:marTop w:val="0"/>
      <w:marBottom w:val="0"/>
      <w:divBdr>
        <w:top w:val="none" w:sz="0" w:space="0" w:color="auto"/>
        <w:left w:val="none" w:sz="0" w:space="0" w:color="auto"/>
        <w:bottom w:val="none" w:sz="0" w:space="0" w:color="auto"/>
        <w:right w:val="none" w:sz="0" w:space="0" w:color="auto"/>
      </w:divBdr>
    </w:div>
    <w:div w:id="1678457007">
      <w:bodyDiv w:val="1"/>
      <w:marLeft w:val="0"/>
      <w:marRight w:val="0"/>
      <w:marTop w:val="0"/>
      <w:marBottom w:val="0"/>
      <w:divBdr>
        <w:top w:val="none" w:sz="0" w:space="0" w:color="auto"/>
        <w:left w:val="none" w:sz="0" w:space="0" w:color="auto"/>
        <w:bottom w:val="none" w:sz="0" w:space="0" w:color="auto"/>
        <w:right w:val="none" w:sz="0" w:space="0" w:color="auto"/>
      </w:divBdr>
    </w:div>
    <w:div w:id="1789548352">
      <w:bodyDiv w:val="1"/>
      <w:marLeft w:val="0"/>
      <w:marRight w:val="0"/>
      <w:marTop w:val="0"/>
      <w:marBottom w:val="0"/>
      <w:divBdr>
        <w:top w:val="none" w:sz="0" w:space="0" w:color="auto"/>
        <w:left w:val="none" w:sz="0" w:space="0" w:color="auto"/>
        <w:bottom w:val="none" w:sz="0" w:space="0" w:color="auto"/>
        <w:right w:val="none" w:sz="0" w:space="0" w:color="auto"/>
      </w:divBdr>
    </w:div>
    <w:div w:id="1791894489">
      <w:bodyDiv w:val="1"/>
      <w:marLeft w:val="0"/>
      <w:marRight w:val="0"/>
      <w:marTop w:val="0"/>
      <w:marBottom w:val="0"/>
      <w:divBdr>
        <w:top w:val="none" w:sz="0" w:space="0" w:color="auto"/>
        <w:left w:val="none" w:sz="0" w:space="0" w:color="auto"/>
        <w:bottom w:val="none" w:sz="0" w:space="0" w:color="auto"/>
        <w:right w:val="none" w:sz="0" w:space="0" w:color="auto"/>
      </w:divBdr>
    </w:div>
    <w:div w:id="1916043142">
      <w:bodyDiv w:val="1"/>
      <w:marLeft w:val="0"/>
      <w:marRight w:val="0"/>
      <w:marTop w:val="0"/>
      <w:marBottom w:val="0"/>
      <w:divBdr>
        <w:top w:val="none" w:sz="0" w:space="0" w:color="auto"/>
        <w:left w:val="none" w:sz="0" w:space="0" w:color="auto"/>
        <w:bottom w:val="none" w:sz="0" w:space="0" w:color="auto"/>
        <w:right w:val="none" w:sz="0" w:space="0" w:color="auto"/>
      </w:divBdr>
    </w:div>
    <w:div w:id="1997681822">
      <w:bodyDiv w:val="1"/>
      <w:marLeft w:val="0"/>
      <w:marRight w:val="0"/>
      <w:marTop w:val="0"/>
      <w:marBottom w:val="0"/>
      <w:divBdr>
        <w:top w:val="none" w:sz="0" w:space="0" w:color="auto"/>
        <w:left w:val="none" w:sz="0" w:space="0" w:color="auto"/>
        <w:bottom w:val="none" w:sz="0" w:space="0" w:color="auto"/>
        <w:right w:val="none" w:sz="0" w:space="0" w:color="auto"/>
      </w:divBdr>
    </w:div>
    <w:div w:id="20216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atov-bis.ru./" TargetMode="External"/><Relationship Id="rId3" Type="http://schemas.openxmlformats.org/officeDocument/2006/relationships/settings" Target="settings.xml"/><Relationship Id="rId7" Type="http://schemas.openxmlformats.org/officeDocument/2006/relationships/hyperlink" Target="https://corpmsp.ru/bankam/programma_stimul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ratovgarantfond.ru/" TargetMode="External"/><Relationship Id="rId11" Type="http://schemas.openxmlformats.org/officeDocument/2006/relationships/theme" Target="theme/theme1.xml"/><Relationship Id="rId5" Type="http://schemas.openxmlformats.org/officeDocument/2006/relationships/hyperlink" Target="https://www.fmc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fsi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1919</Words>
  <Characters>10939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2024-05-17T07:15:00Z</dcterms:created>
  <dcterms:modified xsi:type="dcterms:W3CDTF">2024-05-17T07:35:00Z</dcterms:modified>
</cp:coreProperties>
</file>